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21 282 vom 4. Dezember 2024</w:t>
      </w:r>
    </w:p>
    <w:p>
      <w:r>
        <w:t>VS Kantonsgericht, 2024-12-04, FR</w:t>
      </w:r>
    </w:p>
    <w:p>
      <w:r>
        <w:rPr>
          <w:b/>
        </w:rPr>
        <w:t xml:space="preserve">Quelle: </w:t>
      </w:r>
      <w:r>
        <w:t>https://mcp.opencaselaw.ch/entscheid/vs_gerichte_A1 21 282</w:t>
      </w:r>
    </w:p>
    <w:p>
      <w:r>
        <w:t>FR: VS_GERICHTE A1 21 282 du 4 décembre 2024</w:t>
      </w:r>
    </w:p>
    <w:p>
      <w:r>
        <w:t>IT: VS_GERICHTE A1 21 282 del 4 dicembre 2024</w:t>
      </w:r>
    </w:p>
    <w:p>
      <w:pPr>
        <w:pStyle w:val="Heading2"/>
      </w:pPr>
      <w:r>
        <w:t>Regeste</w:t>
      </w:r>
    </w:p>
    <w:p>
      <w:r>
        <w:t>A1 21 282 ARRET DU 4 DECEMBRE 2024 Tribunal cantonal du Valais Cour de droit public Composition : Christophe Joris, président ; Dr Thierry Schnyder et Frédéric Fellay, juges ; Matthieu Sartoretti, greffier ; en la cause X _________ et X _________, recourants, représentés par Maître Philippe Pont, avocat à Sion, contre CONSEIL D'ETAT DU VALAIS, à Sion, autorité attaquée, dans l’affaire qui oppose les recourants à la COMMUNE DE Z _________, autre autorité, représentée par Maître Christian Voide, avocat à Sion. (Aménagement du territoire) recours de droit administratif contre la décision du 10 novembre 2021</w:t>
      </w:r>
    </w:p>
    <w:p>
      <w:pPr>
        <w:pStyle w:val="Heading2"/>
      </w:pPr>
      <w:r>
        <w:t>Erwägungen</w:t>
      </w:r>
    </w:p>
    <w:p>
      <w:r>
        <w:rPr>
          <w:b/>
        </w:rPr>
        <w:t>E. 1</w:t>
      </w:r>
    </w:p>
    <w:p>
      <w:r>
        <w:t>Aux termes des art. 80 al. 1 let. a et 44 al. 1 let. a LPJA, a qualité pour former un recours de droit administratif devant le Tribunal cantonal quiconque est atteint par la décision litigieuse et a un intérêt digne de protection à ce qu'elle soit annulée ou modifiée. La qualité pour recourir en vertu de ces dispositions s’analyse à la lumière de la jurisprudence rendue en application de l’art. 89 LTF, le droit cantonal n’ayant sur ce point pas une portée plus large que le droit fédéral (ATF 144 I 43 consid. 2.1 ; arrêt du Tribunal fédéral 1C_334/2016 du 18 octobre 2016 consid. 2.1 ; ACDP A1 24 59 du 25 septembre 2024 consid. 2.1).</w:t>
      </w:r>
    </w:p>
    <w:p>
      <w:r>
        <w:rPr>
          <w:b/>
        </w:rPr>
        <w:t>E. 1.1</w:t>
      </w:r>
    </w:p>
    <w:p>
      <w:r>
        <w:t>Selon la jurisprudence, la qualité pour recourir suppose en particulier l’existence d’un intérêt actuel et pratique à l’annulation ou à la modification de la décision attaquée. Cet intérêt doit exister tant au moment du dépôt du recours qu'au moment où l'arrêt est rendu. S’il disparaît en cours de procédure, le recours devient sans objet, alors qu'il est irrecevable si l'intérêt actuel fait déjà défaut au moment du dépôt du recours (ATF 142 I 135 consid. 1.3.1 ; arrêt du Tribunal fédéral 2C_15/2024 du 18 juin 2024 consid. 1.2 ; ACDP A1 23 190 du 25 septembre 2024 consid. 4.1.3). L’intérêt actuel est déterminé en fonction du but poursuivi par le recours, des conséquences ainsi que de la portée d'une éventuelle admission de celui-ci (ATF 131 I 153 consid. 1.2 ; ACDP A1 23 190 précité consid. 4.1.3). De cette manière, les tribunaux sont assurés de trancher uniquement des questions concrètes et non de prendre des décisions à caractère théorique (ATF 144 IV 81 consid. 2.3.1 ; ACDP A1 19 48 du 12 décembre 2019 consid. 1.2).</w:t>
      </w:r>
    </w:p>
    <w:p>
      <w:r>
        <w:t>- 4 - Il est exceptionnellement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et les arrêts cités).</w:t>
      </w:r>
    </w:p>
    <w:p>
      <w:r>
        <w:rPr>
          <w:b/>
        </w:rPr>
        <w:t>E. 1.2</w:t>
      </w:r>
    </w:p>
    <w:p>
      <w:r>
        <w:t>Formellement, le recours du 21 décembre 2021 s’en prend exclusivement à la décision du Conseil d’Etat du 10 novembre 2021 – qui rejette le recours administratif des recourants dirigé contre les décisions du Conseil municipal du 3 mars 2015 et de l’Assemblée primaire du 26 mars 2015 – et non à la décision d’homologation du même jour. Cela étant, les procédures de recours de l’art. 37 LcAT et d’homologation de l’art. 38 LcAT sont connexes (ACDP A1 21 157 du 14 juin 2022 consid. 1.1 et A1 16 89 du 18 novembre 2016 consid. 1.1) et doivent être coordonnées (art. 25a al. 4 LAT ; RUCH, Commentaire pratique LAT : Planifier l’affectation, 2016, nos 19 ss ad art. 26 LAT). Elles sont en réalité à ce point liées que le sort réservé au recours a les mêmes incidences, pour les questions traitées dans le cadre de celui-ci, sur le prononcé d’homologation (ACDP précités A1 21 157 consid. 1.1 et A1 16 89 consid. 1.1). Par ailleurs, l’homologation des plans d’affectation par l’autorité cantonale leur confère force obligatoire (art. 26 al. 3 LAT). Elle a donc un effet constitutif qui implique que tant que la décision d’homologation n’est pas elle-même entrée en force, les prescriptions du plan d’affectation qui doivent être approuvées sont inapplicables (ACDP A1 24 86 du 11 juin 2024 consid. 3.4.1 et les nombreuses références). Dès lors, si l’autorité compétente pour le faire refuse d’homologuer la planification, alors les recours – déposés en vertu de l’art. 37 al. 1 à 3 LcAT – deviennent sans objet (RUCH, op. cit., no 22 i.f. ad art. 26 LAT). Pour les mêmes motifs, si la décision d’homologation est elle-même intégralement annulée par l’autorité de recours, la planification litigieuse ne peut entrer en vigueur et les procédures de recours pendantes devant le Conseil d’Etat ou le Tribunal de céans perdent également leur objet. Dans une telle constellation, en effet, les mesures d’aménagement que conteste l’administré par la voie du recours de l’art. 37 LcAT, généralement circonscrites à une ou à quelques parcelles précises, n’ont plus de matérialité dans la mesure où la planification dont elles émanent est inapplicable, faute d’homologation. Tel est précisément le cas en l’espèce. Par son arrêt A1 22 9, désormais en force, le Tribunal de céans a intégralement annulé la décision d’homologation du 10 novembre</w:t>
      </w:r>
    </w:p>
    <w:p>
      <w:r>
        <w:t>- 5 - 2021 et renvoyé le dossier au Conseil municipal pour reprise ab ovo de la procédure de révision. Partant, la décision du Conseil d’Etat du 10 novembre 2021 rejetant le recours administratif n’est plus susceptible de déployer les effets dont se plaignaient les recourants (classement prétendument indu de plusieurs parcelles en zone à bâtir), en l’absence d’homologation et donc d’applicabilité de la planification de 2015. En d’autres termes, les recourants ne disposent plus d’aucun intérêt à ce que le Tribunal statue sur leur recours de droit administratif du 21 décembre 2021 qui, dans ces conditions, a perdu son objet. A juste titre, les intéressés ne soutiennent par ailleurs pas que les conditions permettant exceptionnellement d’entrer en matière nonobstant le défaut d’intérêt pratique actuel seraient réunies.</w:t>
      </w:r>
    </w:p>
    <w:p>
      <w:r>
        <w:rPr>
          <w:b/>
        </w:rPr>
        <w:t>E. 2</w:t>
      </w:r>
    </w:p>
    <w:p>
      <w:r>
        <w:t>L'indemnité allouée à la partie comprend le remboursement de ses débours et, lorsque des circonstances particulières le justifient, un dédommagement pour la perte de temps ou de gain.</w:t>
      </w:r>
    </w:p>
    <w:p>
      <w:r>
        <w:rPr>
          <w:b/>
        </w:rPr>
        <w:t>E. 2.1</w:t>
      </w:r>
    </w:p>
    <w:p>
      <w:r>
        <w:t>Lorsqu'un recours devient sans objet, le Tribunal statue en principe sur ce point par une décision sommairement motivée en tenant compte de l'état des choses existant avant le fait qui met fin au litige ainsi que de l’issue probable de celui-ci (RVJ 2020 p. 9 consid. 1.3 ; ACDP A1 24 133 du 23 août 2024 consid. 2.1). Il doit toutefois se garder d’examiner dans le détail les perspectives du procès, un jugement matériel ne devant pas être rendu par ce biais, de sorte que le Tribunal se limite à une appréciation succincte et sommaire du dossier (ACDP A1 22 160 du 14 novembre 2023 consid. 4.1). Si l'issue probable de la procédure n'apparaît pas évidente, il y a alors lieu de recourir aux critères généraux de procédure qui commandent de mettre les frais et dépens à la charge de la partie qui a provoqué la procédure devenue sans objet ou chez qui résident les motifs pour lesquels elle a pris fin de la sorte (ATF 142 V 551 consid. 8.2 ; arrêt du Tribunal fédéral 2C_1014/2022 du 18 septembre 2024 consid. 2.1 ; ACDP A1 23 160 du 8 mai 2024 consid. 3.1).</w:t>
      </w:r>
    </w:p>
    <w:p>
      <w:r>
        <w:rPr>
          <w:b/>
        </w:rPr>
        <w:t>E. 2.2</w:t>
      </w:r>
    </w:p>
    <w:p>
      <w:r>
        <w:t>En l’espèce, si la décision d’homologation du 10 novembre 2021 n’avait pas déjà été annulée et, ainsi, privé la décision entreprise de tout effet, le Tribunal de céans aurait dû le faire au terme de la présente procédure. En effet, l’arrêt A1 22 9 constate qu’aucun intérêt public ne s’oppose à la requête de l’Assemblée primaire du 19 décembre 2023 tendant à l’annulation de la planification de 2015 et à la reprise ab ovo du processus de révision, mais relève au contraire que cette requête est justifiée vu les carences affectant les PAZ et RCCZ révisés. Dès lors, s’ils n’avaient pas déjà donné lieu à l’annulation totale de la décision d’homologation du 10 novembre 2021 aux termes de l’arrêt A1 22 9, ces mêmes motifs auraient justifié l’admission du recours de droit administratif des propriétaires et, plus globalement, l’annulation de l’intégralité de la planification de 2015. Aussi les autorités communales sont-elles réputées succomber et les recourants obtenir</w:t>
      </w:r>
    </w:p>
    <w:p>
      <w:r>
        <w:t>- 6 - gain de cause, de sorte que le présent arrêt sera rendu sans frais (art. 89 al. 4 LPJA). Une indemnité de dépens devra en revanche être allouée aux propriétaires, dont il convient encore d’arrêter le montant en vertu des principes usuellement applicables.</w:t>
      </w:r>
    </w:p>
    <w:p>
      <w:r>
        <w:rPr>
          <w:b/>
        </w:rPr>
        <w:t>E. 2.3</w:t>
      </w:r>
    </w:p>
    <w:p>
      <w:r>
        <w:t>A cet égard, l’art. 4 LTar dispose ce qui suit : 1 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w:t>
      </w:r>
    </w:p>
    <w:p>
      <w:r>
        <w:rPr>
          <w:b/>
        </w:rPr>
        <w:t>E. 2.3.1</w:t>
      </w:r>
    </w:p>
    <w:p>
      <w:r>
        <w:t>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Pour les procédures de recours administratif et de recours de droit administratif, ils oscillent entre 550 et 8800 fr. (art. 37 al. 2 LTar) et respectivement 1100 fr. et 11'000 fr., sauf circonstances particulières justifiant une taxation inférieure ou supérieure (art. 29 al. 1 et 2 LTar). L'art. 29 al. 3 LTar dispose notamment qu'en cas de désistement, de retrait du recours, de jugement par défaut, de transaction, d'irrecevabilité et, d'une manière générale, lorsque la cause ne se termine pas par un jugement au fond, les honoraires peuvent être réduits en conséquence. La LTar pose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(arrêt du Tribunal fédéral 2D_35/2016 du 21 avril 2017 consid. 6.2 et la jurisprudence citée).</w:t>
      </w:r>
    </w:p>
    <w:p>
      <w:r>
        <w:rPr>
          <w:b/>
        </w:rPr>
        <w:t>E. 2.3.2</w:t>
      </w:r>
    </w:p>
    <w:p>
      <w:r>
        <w:t>Ainsi, le montant des honoraires du conseil juridique doit être évalué sur la base d'une pondération des critères que cite l’art. 27 al. 1 LTar. Comme le permet la jurisprudence (ATF 141 I 124 consid. 4.3), la rémunération que prévoit la LTar est donc fixée sur la base d’un forfait et non en fonction d’un tarif horaire (RVJ 2012 p. 210 consid. 5.1, citée p. ex. in : ACDP A1 20 186 du 10 juin 2021 consid. 5.3.3 et A1 17 248 du 13 mai 2019 consid. 2.2.4). En l'absence de motifs particuliers prévus par la loi, elle doit</w:t>
      </w:r>
    </w:p>
    <w:p>
      <w:r>
        <w:t>- 7 - demeurer dans les limites légales (ACDP A1 17 248 précité consid. 2.2.4 et A1 15 112 du 20 novembre 2015 consid. 5.3, citant notamment l’arrêt du Tribunal fédéral 1C_53/2015 du 12 mai 2015 consid. 2.2). Il résulte de l’art. 27 LTar que le temps consacré par l’avocat ne constitue que l’un des critères à prendre en considération, ce qui explique la différence qui peut exister entre le montant des dépens fixés et les honoraires effectivement perçus par le mandataire professionnel (arrêt du Tribunal fédéral 1C_170/2014 du 10 décembre 2014 consid. 3.2 ; ACDP A1 18 48 du 16 mars 2018 let. F).</w:t>
      </w:r>
    </w:p>
    <w:p>
      <w:r>
        <w:rPr>
          <w:b/>
        </w:rPr>
        <w:t>E. 2.3.3</w:t>
      </w:r>
    </w:p>
    <w:p>
      <w:r>
        <w:t>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nécessaire.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 porte uniquement sur la question des frais et dépens, il appartient au juge de motiver sa décision en application de la jurisprudence relative à l'art. 29 al. 2 Cst. (arrêts du Tribunal fédéral 2C_247/2022 précité consid. 3.1 et 1C_58/2019 du 31 décembre 2019 consid. 2.2).</w:t>
      </w:r>
    </w:p>
    <w:p>
      <w:r>
        <w:rPr>
          <w:b/>
        </w:rPr>
        <w:t>E. 2.4</w:t>
      </w:r>
    </w:p>
    <w:p>
      <w:r>
        <w:t>En l’occurrence, en l’absence de décompte (art. 5 al. 2 let. c LTar) et eu égard à la complexité de la procédure, au stade précoce auquel elle prend fin et à l’activité limitée déployée par le mandataire des recourants, laquelle a principalement consisté en la rédaction d’un mémoire de recours de droit administratif et de quelques brefs courriers, le montant des dépens pour la présente procédure sera arrêté à 1800 fr. (art. 39 LTar), débours et TVA inclus (art. 27 al. 5 LTar). S’agissant de la précédente procédure, c’est un montant de 1200 fr. (art. 37 al. 2 LTar), débours et TVA compris, qui sera alloué.</w:t>
      </w:r>
    </w:p>
    <w:p>
      <w:r>
        <w:rPr>
          <w:b/>
        </w:rPr>
        <w:t>E. 3</w:t>
      </w:r>
    </w:p>
    <w:p>
      <w:r>
        <w:t>A la lumière des considérants qui précèdent, le recours est devenu sans objet, si bien que la cause doit être rayée du rôle, sans frais (art. 89 al. 4 LPJA). La commune versera</w:t>
      </w:r>
    </w:p>
    <w:p>
      <w:r>
        <w:t>- 8 - par ailleurs aux recourants une indemnité de 3000 fr., débours et TVA compris, à titre de dépens pour les deux instances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